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9BD86">
      <w:pPr>
        <w:pStyle w:val="4"/>
        <w:spacing w:after="0"/>
        <w:jc w:val="left"/>
        <w:rPr>
          <w:rStyle w:val="15"/>
          <w:rFonts w:hint="eastAsia" w:ascii="Microsoft YaHei UI" w:hAnsi="Microsoft YaHei UI" w:eastAsia="Microsoft YaHei UI" w:cstheme="minorHAnsi"/>
          <w:b w:val="0"/>
          <w:bCs w:val="0"/>
          <w:sz w:val="24"/>
          <w:szCs w:val="24"/>
        </w:rPr>
      </w:pPr>
      <w:r>
        <w:rPr>
          <w:rFonts w:ascii="Microsoft YaHei UI" w:hAnsi="Microsoft YaHei UI" w:eastAsia="Microsoft YaHei UI" w:cstheme="minorHAnsi"/>
          <w:bCs w:val="0"/>
          <w:color w:val="92D050"/>
          <w:kern w:val="2"/>
          <w:sz w:val="24"/>
          <w:szCs w:val="24"/>
        </w:rPr>
        <w:t>数据库名称</w:t>
      </w:r>
      <w:r>
        <w:rPr>
          <w:rFonts w:ascii="Microsoft YaHei UI" w:hAnsi="Microsoft YaHei UI" w:eastAsia="Microsoft YaHei UI" w:cstheme="minorHAnsi"/>
          <w:bCs w:val="0"/>
          <w:color w:val="0070C0"/>
          <w:kern w:val="2"/>
          <w:sz w:val="24"/>
          <w:szCs w:val="24"/>
        </w:rPr>
        <w:t>：</w:t>
      </w:r>
      <w:r>
        <w:rPr>
          <w:rStyle w:val="15"/>
          <w:rFonts w:ascii="Microsoft YaHei UI" w:hAnsi="Microsoft YaHei UI" w:eastAsia="Microsoft YaHei UI" w:cstheme="minorHAnsi"/>
          <w:b w:val="0"/>
          <w:bCs w:val="0"/>
          <w:sz w:val="24"/>
          <w:szCs w:val="24"/>
        </w:rPr>
        <w:t>威科</w:t>
      </w:r>
      <w:r>
        <w:rPr>
          <w:rStyle w:val="15"/>
          <w:rFonts w:hint="eastAsia" w:ascii="Microsoft YaHei UI" w:hAnsi="Microsoft YaHei UI" w:eastAsia="Microsoft YaHei UI" w:cstheme="minorHAnsi"/>
          <w:b w:val="0"/>
          <w:bCs w:val="0"/>
          <w:sz w:val="24"/>
          <w:szCs w:val="24"/>
        </w:rPr>
        <w:t>先行法律信息库</w:t>
      </w:r>
    </w:p>
    <w:p w14:paraId="5198B8DC">
      <w:pPr>
        <w:spacing w:line="276" w:lineRule="auto"/>
        <w:rPr>
          <w:rFonts w:hint="eastAsia" w:ascii="Microsoft YaHei UI" w:hAnsi="Microsoft YaHei UI" w:eastAsia="Microsoft YaHei UI" w:cstheme="minorHAnsi"/>
          <w:b/>
          <w:color w:val="0070C0"/>
          <w:sz w:val="24"/>
          <w:szCs w:val="24"/>
        </w:rPr>
      </w:pPr>
      <w:r>
        <w:rPr>
          <w:rFonts w:ascii="Microsoft YaHei UI" w:hAnsi="Microsoft YaHei UI" w:eastAsia="Microsoft YaHei UI" w:cstheme="minorHAnsi"/>
          <w:b/>
          <w:color w:val="92D050"/>
          <w:sz w:val="24"/>
          <w:szCs w:val="24"/>
        </w:rPr>
        <w:t>数据库地址</w:t>
      </w:r>
      <w:r>
        <w:rPr>
          <w:rFonts w:ascii="Microsoft YaHei UI" w:hAnsi="Microsoft YaHei UI" w:eastAsia="Microsoft YaHei UI" w:cstheme="minorHAnsi"/>
          <w:color w:val="92D050"/>
          <w:sz w:val="24"/>
          <w:szCs w:val="24"/>
        </w:rPr>
        <w:t>：</w:t>
      </w:r>
      <w:r>
        <w:fldChar w:fldCharType="begin"/>
      </w:r>
      <w:r>
        <w:instrText xml:space="preserve"> HYPERLINK "http://www.wkinfo.com.cn" </w:instrText>
      </w:r>
      <w:r>
        <w:fldChar w:fldCharType="separate"/>
      </w:r>
      <w:r>
        <w:rPr>
          <w:rStyle w:val="10"/>
          <w:rFonts w:hint="eastAsia" w:ascii="Microsoft YaHei UI" w:hAnsi="Microsoft YaHei UI" w:eastAsia="Microsoft YaHei UI"/>
          <w:sz w:val="24"/>
          <w:szCs w:val="24"/>
        </w:rPr>
        <w:t>www</w:t>
      </w:r>
      <w:r>
        <w:rPr>
          <w:rStyle w:val="10"/>
          <w:rFonts w:ascii="Microsoft YaHei UI" w:hAnsi="Microsoft YaHei UI" w:eastAsia="Microsoft YaHei UI"/>
          <w:sz w:val="24"/>
          <w:szCs w:val="24"/>
        </w:rPr>
        <w:t>.wkinfo.com.cn</w:t>
      </w:r>
      <w:r>
        <w:rPr>
          <w:rStyle w:val="10"/>
          <w:rFonts w:ascii="Microsoft YaHei UI" w:hAnsi="Microsoft YaHei UI" w:eastAsia="Microsoft YaHei UI"/>
          <w:sz w:val="24"/>
          <w:szCs w:val="24"/>
        </w:rPr>
        <w:fldChar w:fldCharType="end"/>
      </w:r>
      <w:r>
        <w:rPr>
          <w:rFonts w:hint="eastAsia" w:ascii="Microsoft YaHei UI" w:hAnsi="Microsoft YaHei UI" w:eastAsia="Microsoft YaHei UI"/>
          <w:sz w:val="24"/>
          <w:szCs w:val="24"/>
        </w:rPr>
        <w:t xml:space="preserve"> </w:t>
      </w:r>
    </w:p>
    <w:p w14:paraId="6AF8C170">
      <w:pPr>
        <w:spacing w:line="276" w:lineRule="auto"/>
        <w:rPr>
          <w:rFonts w:hint="eastAsia" w:ascii="Microsoft YaHei UI" w:hAnsi="Microsoft YaHei UI" w:eastAsia="Microsoft YaHei UI" w:cstheme="minorHAnsi"/>
          <w:sz w:val="24"/>
          <w:szCs w:val="24"/>
        </w:rPr>
      </w:pPr>
      <w:r>
        <w:rPr>
          <w:rFonts w:ascii="Microsoft YaHei UI" w:hAnsi="Microsoft YaHei UI" w:eastAsia="Microsoft YaHei UI" w:cstheme="minorHAnsi"/>
          <w:b/>
          <w:color w:val="92D050"/>
          <w:sz w:val="24"/>
          <w:szCs w:val="24"/>
        </w:rPr>
        <w:t>数据库类型</w:t>
      </w:r>
      <w:r>
        <w:rPr>
          <w:rFonts w:ascii="Microsoft YaHei UI" w:hAnsi="Microsoft YaHei UI" w:eastAsia="Microsoft YaHei UI" w:cstheme="minorHAnsi"/>
          <w:color w:val="92D050"/>
          <w:sz w:val="24"/>
          <w:szCs w:val="24"/>
        </w:rPr>
        <w:t>：</w:t>
      </w:r>
      <w:r>
        <w:rPr>
          <w:rFonts w:hint="eastAsia" w:ascii="Microsoft YaHei UI" w:hAnsi="Microsoft YaHei UI" w:eastAsia="Microsoft YaHei UI" w:cstheme="minorHAnsi"/>
          <w:sz w:val="24"/>
          <w:szCs w:val="24"/>
        </w:rPr>
        <w:t>法律法规、文献、评论、分析</w:t>
      </w:r>
    </w:p>
    <w:p w14:paraId="6421C6A5">
      <w:pPr>
        <w:pStyle w:val="16"/>
        <w:rPr>
          <w:rFonts w:hint="eastAsia" w:ascii="Microsoft YaHei UI" w:hAnsi="Microsoft YaHei UI" w:eastAsia="Microsoft YaHei UI"/>
          <w:sz w:val="24"/>
          <w:szCs w:val="24"/>
        </w:rPr>
      </w:pPr>
      <w:r>
        <w:rPr>
          <w:rFonts w:hint="eastAsia" w:ascii="Microsoft YaHei UI" w:hAnsi="Microsoft YaHei UI" w:eastAsia="Microsoft YaHei UI"/>
          <w:b/>
          <w:bCs/>
          <w:color w:val="92D050"/>
          <w:sz w:val="24"/>
          <w:szCs w:val="24"/>
        </w:rPr>
        <w:t>试用</w:t>
      </w:r>
      <w:r>
        <w:rPr>
          <w:rFonts w:ascii="Microsoft YaHei UI" w:hAnsi="Microsoft YaHei UI" w:eastAsia="Microsoft YaHei UI"/>
          <w:b/>
          <w:bCs/>
          <w:color w:val="92D050"/>
          <w:sz w:val="24"/>
          <w:szCs w:val="24"/>
        </w:rPr>
        <w:t>期限：</w:t>
      </w:r>
      <w:r>
        <w:rPr>
          <w:rFonts w:hint="eastAsia" w:ascii="Microsoft YaHei UI" w:hAnsi="Microsoft YaHei UI" w:eastAsia="Microsoft YaHei UI"/>
          <w:sz w:val="24"/>
          <w:szCs w:val="24"/>
        </w:rPr>
        <w:t>2026年05月19日</w:t>
      </w:r>
      <w:r>
        <w:rPr>
          <w:rFonts w:ascii="Microsoft YaHei UI" w:hAnsi="Microsoft YaHei UI" w:eastAsia="Microsoft YaHei UI"/>
          <w:sz w:val="24"/>
          <w:szCs w:val="24"/>
        </w:rPr>
        <w:t>-20</w:t>
      </w:r>
      <w:r>
        <w:rPr>
          <w:rFonts w:hint="eastAsia" w:ascii="Microsoft YaHei UI" w:hAnsi="Microsoft YaHei UI" w:eastAsia="Microsoft YaHei UI"/>
          <w:sz w:val="24"/>
          <w:szCs w:val="24"/>
        </w:rPr>
        <w:t>26年06月18日</w:t>
      </w:r>
    </w:p>
    <w:p w14:paraId="7ECE8393">
      <w:pPr>
        <w:spacing w:line="276" w:lineRule="auto"/>
        <w:rPr>
          <w:rFonts w:hint="eastAsia" w:ascii="Microsoft YaHei UI" w:hAnsi="Microsoft YaHei UI" w:eastAsia="Microsoft YaHei UI" w:cstheme="minorHAnsi"/>
          <w:sz w:val="24"/>
          <w:szCs w:val="24"/>
        </w:rPr>
      </w:pPr>
      <w:r>
        <w:rPr>
          <w:rFonts w:ascii="Microsoft YaHei UI" w:hAnsi="Microsoft YaHei UI" w:eastAsia="Microsoft YaHei UI" w:cstheme="minorHAnsi"/>
          <w:b/>
          <w:color w:val="92D050"/>
          <w:sz w:val="24"/>
          <w:szCs w:val="24"/>
        </w:rPr>
        <w:t>访问年限</w:t>
      </w:r>
      <w:r>
        <w:rPr>
          <w:rFonts w:ascii="Microsoft YaHei UI" w:hAnsi="Microsoft YaHei UI" w:eastAsia="Microsoft YaHei UI" w:cstheme="minorHAnsi"/>
          <w:color w:val="92D050"/>
          <w:sz w:val="24"/>
          <w:szCs w:val="24"/>
        </w:rPr>
        <w:t>：</w:t>
      </w:r>
      <w:r>
        <w:rPr>
          <w:rFonts w:hint="eastAsia" w:ascii="Microsoft YaHei UI" w:hAnsi="Microsoft YaHei UI" w:eastAsia="Microsoft YaHei UI" w:cstheme="minorHAnsi"/>
          <w:sz w:val="24"/>
          <w:szCs w:val="24"/>
        </w:rPr>
        <w:t>实时更新</w:t>
      </w:r>
    </w:p>
    <w:p w14:paraId="539AA439">
      <w:pPr>
        <w:spacing w:line="276" w:lineRule="auto"/>
        <w:ind w:left="1440" w:hanging="1441" w:hangingChars="600"/>
        <w:rPr>
          <w:rFonts w:hint="eastAsia" w:ascii="Microsoft YaHei UI" w:hAnsi="Microsoft YaHei UI" w:eastAsia="Microsoft YaHei UI" w:cstheme="minorHAnsi"/>
          <w:bCs/>
          <w:sz w:val="24"/>
          <w:szCs w:val="24"/>
        </w:rPr>
      </w:pPr>
      <w:r>
        <w:rPr>
          <w:rFonts w:hint="eastAsia" w:ascii="Microsoft YaHei UI" w:hAnsi="Microsoft YaHei UI" w:eastAsia="Microsoft YaHei UI" w:cstheme="minorHAnsi"/>
          <w:b/>
          <w:color w:val="92D050"/>
          <w:sz w:val="24"/>
          <w:szCs w:val="24"/>
        </w:rPr>
        <w:t>内容</w:t>
      </w:r>
      <w:r>
        <w:rPr>
          <w:rFonts w:ascii="Microsoft YaHei UI" w:hAnsi="Microsoft YaHei UI" w:eastAsia="Microsoft YaHei UI" w:cstheme="minorHAnsi"/>
          <w:b/>
          <w:color w:val="92D050"/>
          <w:sz w:val="24"/>
          <w:szCs w:val="24"/>
        </w:rPr>
        <w:t>范围</w:t>
      </w:r>
      <w:r>
        <w:rPr>
          <w:rFonts w:ascii="Microsoft YaHei UI" w:hAnsi="Microsoft YaHei UI" w:eastAsia="Microsoft YaHei UI" w:cstheme="minorHAnsi"/>
          <w:color w:val="92D050"/>
          <w:sz w:val="24"/>
          <w:szCs w:val="24"/>
        </w:rPr>
        <w:t>：</w:t>
      </w:r>
      <w:r>
        <w:rPr>
          <w:rFonts w:hint="eastAsia" w:ascii="Microsoft YaHei UI" w:hAnsi="Microsoft YaHei UI" w:eastAsia="Microsoft YaHei UI" w:cstheme="minorHAnsi"/>
          <w:bCs/>
          <w:sz w:val="24"/>
          <w:szCs w:val="24"/>
        </w:rPr>
        <w:t>法律</w:t>
      </w:r>
    </w:p>
    <w:p w14:paraId="6E9B086E">
      <w:pPr>
        <w:spacing w:line="276" w:lineRule="auto"/>
        <w:rPr>
          <w:rFonts w:hint="eastAsia" w:ascii="Microsoft YaHei UI" w:hAnsi="Microsoft YaHei UI" w:eastAsia="Microsoft YaHei UI" w:cstheme="minorHAnsi"/>
          <w:bCs/>
          <w:sz w:val="24"/>
          <w:szCs w:val="24"/>
        </w:rPr>
      </w:pPr>
      <w:r>
        <w:rPr>
          <w:rFonts w:ascii="Microsoft YaHei UI" w:hAnsi="Microsoft YaHei UI" w:eastAsia="Microsoft YaHei UI" w:cstheme="minorHAnsi"/>
          <w:b/>
          <w:color w:val="92D050"/>
          <w:sz w:val="24"/>
          <w:szCs w:val="24"/>
        </w:rPr>
        <w:t>语种</w:t>
      </w:r>
      <w:r>
        <w:rPr>
          <w:rFonts w:ascii="Microsoft YaHei UI" w:hAnsi="Microsoft YaHei UI" w:eastAsia="Microsoft YaHei UI" w:cstheme="minorHAnsi"/>
          <w:bCs/>
          <w:color w:val="92D050"/>
          <w:sz w:val="24"/>
          <w:szCs w:val="24"/>
        </w:rPr>
        <w:t>：</w:t>
      </w:r>
      <w:r>
        <w:rPr>
          <w:rFonts w:hint="eastAsia" w:ascii="Microsoft YaHei UI" w:hAnsi="Microsoft YaHei UI" w:eastAsia="Microsoft YaHei UI" w:cstheme="minorHAnsi"/>
          <w:bCs/>
          <w:sz w:val="24"/>
          <w:szCs w:val="24"/>
        </w:rPr>
        <w:t>中英文双语</w:t>
      </w:r>
    </w:p>
    <w:p w14:paraId="4C9F491D">
      <w:pPr>
        <w:spacing w:line="276" w:lineRule="auto"/>
        <w:rPr>
          <w:rFonts w:hint="eastAsia" w:ascii="Microsoft YaHei UI" w:hAnsi="Microsoft YaHei UI" w:eastAsia="Microsoft YaHei UI"/>
          <w:sz w:val="24"/>
          <w:szCs w:val="24"/>
        </w:rPr>
      </w:pPr>
      <w:r>
        <w:rPr>
          <w:rFonts w:ascii="Microsoft YaHei UI" w:hAnsi="Microsoft YaHei UI" w:eastAsia="Microsoft YaHei UI" w:cstheme="minorHAnsi"/>
          <w:b/>
          <w:color w:val="92D050"/>
          <w:sz w:val="24"/>
          <w:szCs w:val="24"/>
        </w:rPr>
        <w:t>使用指南</w:t>
      </w:r>
      <w:r>
        <w:rPr>
          <w:rFonts w:ascii="Microsoft YaHei UI" w:hAnsi="Microsoft YaHei UI" w:eastAsia="Microsoft YaHei UI" w:cstheme="minorHAnsi"/>
          <w:bCs/>
          <w:color w:val="92D050"/>
          <w:sz w:val="24"/>
          <w:szCs w:val="24"/>
        </w:rPr>
        <w:t>：</w:t>
      </w:r>
      <w:r>
        <w:fldChar w:fldCharType="begin"/>
      </w:r>
      <w:r>
        <w:instrText xml:space="preserve"> HYPERLINK "https://law.wkinfo.com.cn/help/mobile/index.html" </w:instrText>
      </w:r>
      <w:r>
        <w:fldChar w:fldCharType="separate"/>
      </w:r>
      <w:r>
        <w:rPr>
          <w:rStyle w:val="10"/>
        </w:rPr>
        <w:t>My FlipBook (wkinfo.com.cn)</w:t>
      </w:r>
      <w:r>
        <w:rPr>
          <w:rStyle w:val="10"/>
        </w:rPr>
        <w:fldChar w:fldCharType="end"/>
      </w:r>
    </w:p>
    <w:p w14:paraId="13065EA6">
      <w:pP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</w:pPr>
    </w:p>
    <w:p w14:paraId="46A1306C">
      <w:pP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</w:pPr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威科</w:t>
      </w:r>
      <w:r>
        <w:rPr>
          <w:rFonts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先行法律信息库介绍</w:t>
      </w:r>
    </w:p>
    <w:p w14:paraId="30CB7541">
      <w:pP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  <w:t>威科先行®•法律信息库是威科集团依托180多年全球信息服务经验、卓越的技术实力及资深的本土专家团队，精心打造的双语法律信息整体解决方案。该数据库以智能检索为贯穿，集法规、案例、实务指南、法律速递、专业文章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  <w:lang w:eastAsia="zh-CN"/>
        </w:rPr>
        <w:t>、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  <w:t>实用模板、在线问答等功能于一体，为中国法律专业人士精准决策、高效工作提供坚实支持。</w:t>
      </w:r>
    </w:p>
    <w:p w14:paraId="085E062C">
      <w:pP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</w:pPr>
    </w:p>
    <w:p w14:paraId="1A1F8B5F"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信息库特点</w:t>
      </w:r>
    </w:p>
    <w:p w14:paraId="473276A1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专业的信息系统架构</w:t>
      </w:r>
    </w:p>
    <w:p w14:paraId="75FDE463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基础信息资源（法律法规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eastAsia="zh-CN"/>
        </w:rPr>
        <w:t>、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判决案例）的全面性、准确性、及时性</w:t>
      </w:r>
    </w:p>
    <w:p w14:paraId="282FAB5E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基础信息资源（法律法规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eastAsia="zh-CN"/>
        </w:rPr>
        <w:t>、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判决案例）分类的合理性、多样性</w:t>
      </w:r>
    </w:p>
    <w:p w14:paraId="47CE034C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丰富的评论以及加工信息资源，覆盖新闻、实务解读、实用工具、咨询问答等</w:t>
      </w:r>
    </w:p>
    <w:p w14:paraId="456165C2">
      <w:pPr>
        <w:pStyle w:val="5"/>
        <w:shd w:val="clear" w:color="auto" w:fill="FFFFFF" w:themeFill="background1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z w:val="21"/>
          <w:szCs w:val="21"/>
        </w:rPr>
      </w:pPr>
      <w:r>
        <w:rPr>
          <w:rFonts w:ascii="Microsoft YaHei UI" w:hAnsi="Microsoft YaHei UI" w:eastAsia="Microsoft YaHei UI"/>
          <w:color w:val="474747"/>
          <w:spacing w:val="8"/>
          <w:sz w:val="21"/>
          <w:szCs w:val="21"/>
        </w:rPr>
        <w:t>• 高质量的法规翻译</w:t>
      </w:r>
    </w:p>
    <w:p w14:paraId="44899393">
      <w:pPr>
        <w:pStyle w:val="5"/>
        <w:shd w:val="clear" w:color="auto" w:fill="FFFFFF" w:themeFill="background1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z w:val="21"/>
          <w:szCs w:val="21"/>
        </w:rPr>
      </w:pPr>
      <w:r>
        <w:rPr>
          <w:rFonts w:ascii="Microsoft YaHei UI" w:hAnsi="Microsoft YaHei UI" w:eastAsia="Microsoft YaHei UI"/>
          <w:color w:val="474747"/>
          <w:spacing w:val="8"/>
          <w:sz w:val="21"/>
          <w:szCs w:val="21"/>
        </w:rPr>
        <w:t>• 先进的全文检索技术</w:t>
      </w:r>
    </w:p>
    <w:p w14:paraId="6CEF4EE8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提供智能信息链接，大幅提高信息查询效率</w:t>
      </w:r>
    </w:p>
    <w:p w14:paraId="33B318B0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便捷的文档管理功能</w:t>
      </w:r>
    </w:p>
    <w:p w14:paraId="78C6DBE5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完善的客户服务</w:t>
      </w:r>
    </w:p>
    <w:p w14:paraId="7FEED6B9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• 提供完整的用户使用报告</w:t>
      </w:r>
    </w:p>
    <w:p w14:paraId="08B08533">
      <w:pPr>
        <w:pStyle w:val="5"/>
        <w:shd w:val="clear" w:color="auto" w:fill="FFFFFF" w:themeFill="background1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z w:val="21"/>
          <w:szCs w:val="21"/>
        </w:rPr>
      </w:pPr>
      <w:r>
        <w:rPr>
          <w:rFonts w:ascii="Microsoft YaHei UI" w:hAnsi="Microsoft YaHei UI" w:eastAsia="Microsoft YaHei UI"/>
          <w:color w:val="474747"/>
          <w:spacing w:val="8"/>
          <w:sz w:val="21"/>
          <w:szCs w:val="21"/>
        </w:rPr>
        <w:t>• 支持HTML5，移动设备轻松浏览</w:t>
      </w:r>
    </w:p>
    <w:p w14:paraId="76F2B118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5780CF11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</w:pPr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法规栏目</w:t>
      </w:r>
    </w:p>
    <w:p w14:paraId="0394A801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</w:pPr>
    </w:p>
    <w:p w14:paraId="78FDE642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法律法规</w:t>
      </w:r>
    </w:p>
    <w:p w14:paraId="3F775F26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收录了自1949年建国至今，从中央至31个省、自治区、直辖市的法规，总量超过</w:t>
      </w:r>
      <w:r>
        <w:rPr>
          <w:rStyle w:val="8"/>
          <w:rFonts w:ascii="Microsoft YaHei UI" w:hAnsi="Microsoft YaHei UI" w:eastAsia="Microsoft YaHei UI"/>
          <w:color w:val="6EBB1F"/>
          <w:spacing w:val="8"/>
        </w:rPr>
        <w:t>3</w:t>
      </w:r>
      <w:r>
        <w:rPr>
          <w:rStyle w:val="8"/>
          <w:rFonts w:hint="eastAsia" w:ascii="Microsoft YaHei UI" w:hAnsi="Microsoft YaHei UI" w:eastAsia="Microsoft YaHei UI"/>
          <w:color w:val="6EBB1F"/>
          <w:spacing w:val="8"/>
        </w:rPr>
        <w:t>40万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条，分类细致，包括主题、行业、地域、效力级别的各类法规，征求意见稿、草案及官方法规解读，配备专业团队进行修校，确保法规信息准确无误。</w:t>
      </w:r>
    </w:p>
    <w:p w14:paraId="618A014E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 </w:t>
      </w:r>
    </w:p>
    <w:p w14:paraId="0660F8A3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国际条约</w:t>
      </w:r>
    </w:p>
    <w:p w14:paraId="512F3CE3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收录</w:t>
      </w:r>
      <w:r>
        <w:rPr>
          <w:rStyle w:val="8"/>
          <w:rFonts w:hint="eastAsia" w:ascii="Microsoft YaHei UI" w:hAnsi="Microsoft YaHei UI" w:eastAsia="Microsoft YaHei UI"/>
          <w:color w:val="6EBB1F"/>
          <w:spacing w:val="8"/>
        </w:rPr>
        <w:t>5</w:t>
      </w:r>
      <w:r>
        <w:rPr>
          <w:rStyle w:val="8"/>
          <w:rFonts w:ascii="Microsoft YaHei UI" w:hAnsi="Microsoft YaHei UI" w:eastAsia="Microsoft YaHei UI"/>
          <w:color w:val="6EBB1F"/>
          <w:spacing w:val="8"/>
        </w:rPr>
        <w:t>5</w:t>
      </w:r>
      <w:r>
        <w:rPr>
          <w:rStyle w:val="8"/>
          <w:rFonts w:hint="eastAsia" w:ascii="Microsoft YaHei UI" w:hAnsi="Microsoft YaHei UI" w:eastAsia="Microsoft YaHei UI"/>
          <w:color w:val="6EBB1F"/>
          <w:spacing w:val="8"/>
        </w:rPr>
        <w:t>00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多篇中国与其他国家签署的各类国际条约，可以按国家和类型进行过滤筛选。</w:t>
      </w:r>
    </w:p>
    <w:p w14:paraId="1C3FA8BC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5138E6B9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</w:pPr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案例栏</w:t>
      </w:r>
      <w:r>
        <w:rPr>
          <w:rFonts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目</w:t>
      </w:r>
    </w:p>
    <w:p w14:paraId="0EF82A6A">
      <w:pPr>
        <w:spacing w:after="0" w:line="240" w:lineRule="auto"/>
        <w:rPr>
          <w:rFonts w:hint="eastAsia" w:ascii="Microsoft YaHei UI" w:hAnsi="Microsoft YaHei UI" w:eastAsia="Microsoft YaHei UI" w:cs="Times New Roman"/>
          <w:color w:val="FFFFFF"/>
          <w:spacing w:val="8"/>
          <w:sz w:val="26"/>
          <w:szCs w:val="26"/>
          <w:shd w:val="clear" w:color="auto" w:fill="6EBB1F"/>
        </w:rPr>
      </w:pPr>
    </w:p>
    <w:p w14:paraId="617FEADD">
      <w:pPr>
        <w:spacing w:after="0" w:line="240" w:lineRule="auto"/>
        <w:rPr>
          <w:rStyle w:val="8"/>
          <w:rFonts w:hint="eastAsia" w:ascii="Microsoft YaHei UI" w:hAnsi="Microsoft YaHei UI" w:eastAsia="Microsoft YaHei UI" w:cs="Times New Roman"/>
          <w:color w:val="6EBB1F"/>
          <w:spacing w:val="8"/>
          <w:sz w:val="21"/>
          <w:szCs w:val="21"/>
        </w:rPr>
      </w:pPr>
      <w:r>
        <w:rPr>
          <w:rStyle w:val="8"/>
          <w:rFonts w:ascii="Microsoft YaHei UI" w:hAnsi="Microsoft YaHei UI" w:eastAsia="Microsoft YaHei UI" w:cs="Times New Roman"/>
          <w:color w:val="6EBB1F"/>
          <w:spacing w:val="8"/>
          <w:sz w:val="21"/>
          <w:szCs w:val="21"/>
        </w:rPr>
        <w:t>案例</w:t>
      </w:r>
    </w:p>
    <w:p w14:paraId="03620FA2">
      <w:pPr>
        <w:spacing w:after="0" w:line="240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包括中国大陆</w:t>
      </w:r>
      <w:r>
        <w:rPr>
          <w:rFonts w:ascii="Microsoft YaHei UI" w:hAnsi="Microsoft YaHei UI" w:eastAsia="Microsoft YaHei UI" w:cs="Times New Roman"/>
          <w:color w:val="474747"/>
          <w:spacing w:val="8"/>
          <w:sz w:val="21"/>
          <w:szCs w:val="21"/>
        </w:rPr>
        <w:t>31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个省市自治区的三级法院官方公布的裁判文书，覆盖整个审判流程及民事、刑事、行政全部案由，裁判文书的类型包括判决书、裁定书、决定书、调解书及其他文书；囊括最高人民法院、地方三级法院及专门法院公布的裁判文书；总量超过</w:t>
      </w:r>
      <w:r>
        <w:rPr>
          <w:rStyle w:val="8"/>
          <w:rFonts w:hint="eastAsia" w:ascii="Microsoft YaHei UI" w:hAnsi="Microsoft YaHei UI" w:eastAsia="Microsoft YaHei UI" w:cs="Times New Roman"/>
          <w:color w:val="6EBB1F"/>
          <w:spacing w:val="8"/>
          <w:sz w:val="24"/>
          <w:szCs w:val="24"/>
        </w:rPr>
        <w:t>1</w:t>
      </w:r>
      <w:r>
        <w:rPr>
          <w:rStyle w:val="8"/>
          <w:rFonts w:ascii="Microsoft YaHei UI" w:hAnsi="Microsoft YaHei UI" w:eastAsia="Microsoft YaHei UI" w:cs="Times New Roman"/>
          <w:color w:val="6EBB1F"/>
          <w:spacing w:val="8"/>
          <w:sz w:val="24"/>
          <w:szCs w:val="24"/>
        </w:rPr>
        <w:t>.</w:t>
      </w:r>
      <w:r>
        <w:rPr>
          <w:rStyle w:val="8"/>
          <w:rFonts w:hint="eastAsia" w:ascii="Microsoft YaHei UI" w:hAnsi="Microsoft YaHei UI" w:eastAsia="Microsoft YaHei UI" w:cs="Times New Roman"/>
          <w:color w:val="6EBB1F"/>
          <w:spacing w:val="8"/>
          <w:sz w:val="24"/>
          <w:szCs w:val="24"/>
        </w:rPr>
        <w:t>76亿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；案例中提供相关法规全文链接。同时针对一些典型案例、精选案例等，提供法官、律师等专业人士的深度评析，帮助用户梳理案例思路，快速获取案例审判要旨。内容与裁判文书和法规等高效关联</w:t>
      </w:r>
      <w:r>
        <w:rPr>
          <w:rFonts w:ascii="Microsoft YaHei UI" w:hAnsi="Microsoft YaHei UI" w:eastAsia="Microsoft YaHei UI" w:cs="Times New Roman"/>
          <w:color w:val="474747"/>
          <w:spacing w:val="8"/>
          <w:sz w:val="21"/>
          <w:szCs w:val="21"/>
        </w:rPr>
        <w:t>。</w:t>
      </w:r>
    </w:p>
    <w:p w14:paraId="63FE6A2E">
      <w:pPr>
        <w:spacing w:after="0" w:line="240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</w:p>
    <w:p w14:paraId="323C469F">
      <w:pPr>
        <w:spacing w:after="200" w:line="276" w:lineRule="auto"/>
        <w:contextualSpacing/>
        <w:rPr>
          <w:rFonts w:hint="eastAsia" w:ascii="微软雅黑" w:hAnsi="微软雅黑" w:eastAsia="微软雅黑"/>
          <w:b/>
          <w:sz w:val="28"/>
          <w:szCs w:val="24"/>
        </w:rPr>
      </w:pPr>
      <w:r>
        <w:rPr>
          <w:rStyle w:val="8"/>
          <w:rFonts w:hint="eastAsia" w:ascii="Microsoft YaHei UI" w:hAnsi="Microsoft YaHei UI" w:eastAsia="Microsoft YaHei UI"/>
          <w:bCs w:val="0"/>
          <w:color w:val="6EBB1F"/>
          <w:spacing w:val="8"/>
          <w:sz w:val="21"/>
          <w:szCs w:val="21"/>
        </w:rPr>
        <w:t>案例评析</w:t>
      </w:r>
    </w:p>
    <w:p w14:paraId="4D6E086B">
      <w:pPr>
        <w:spacing w:after="200" w:line="276" w:lineRule="auto"/>
        <w:contextualSpacing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威科独家模块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  <w:lang w:eastAsia="zh-CN"/>
        </w:rPr>
        <w:t>，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“法官精析评案”栏目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  <w:lang w:eastAsia="zh-CN"/>
        </w:rPr>
        <w:t>，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在全国范围内法官撰写的几千篇案例评析文章中精选出来,由一线法官亲自撰写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  <w:lang w:eastAsia="zh-CN"/>
        </w:rPr>
        <w:t>，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深度说理判决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  <w:lang w:eastAsia="zh-CN"/>
        </w:rPr>
        <w:t>，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主要价值体现在：</w:t>
      </w:r>
    </w:p>
    <w:p w14:paraId="1145D5BA">
      <w:pP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来源稀缺：这是国家法官学院首次对外授权在线发布此类内容；全部内容均由各地优秀法官针对近些年的审判案例撰写；</w:t>
      </w:r>
    </w:p>
    <w:p w14:paraId="3F2506C7">
      <w:pP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内容独家：部分纸质文件转化为线上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  <w:lang w:eastAsia="zh-CN"/>
        </w:rPr>
        <w:t>，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内容从未被披露；</w:t>
      </w:r>
    </w:p>
    <w:p w14:paraId="0A81E1B4">
      <w:pP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话题有针对性：全部精心甄选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  <w:lang w:eastAsia="zh-CN"/>
        </w:rPr>
        <w:t>，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话题覆盖知识产权、劳动、公司、合同、商事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  <w:lang w:val="en-US" w:eastAsia="zh-CN"/>
        </w:rPr>
        <w:t>等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领域</w:t>
      </w:r>
    </w:p>
    <w:p w14:paraId="33BC6EF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 </w:t>
      </w:r>
    </w:p>
    <w:p w14:paraId="5EF9B286">
      <w:pPr>
        <w:spacing w:after="0" w:line="240" w:lineRule="auto"/>
        <w:rPr>
          <w:rFonts w:hint="eastAsia" w:ascii="微软雅黑" w:hAnsi="微软雅黑" w:eastAsia="微软雅黑"/>
          <w:b/>
          <w:sz w:val="28"/>
          <w:szCs w:val="24"/>
        </w:rPr>
      </w:pPr>
      <w:r>
        <w:rPr>
          <w:rStyle w:val="8"/>
          <w:rFonts w:hint="eastAsia" w:ascii="Microsoft YaHei UI" w:hAnsi="Microsoft YaHei UI" w:eastAsia="Microsoft YaHei UI"/>
          <w:bCs w:val="0"/>
          <w:color w:val="6EBB1F"/>
          <w:spacing w:val="8"/>
          <w:sz w:val="21"/>
          <w:szCs w:val="21"/>
        </w:rPr>
        <w:t>检察文书</w:t>
      </w:r>
    </w:p>
    <w:p w14:paraId="2C42B2BF">
      <w:pPr>
        <w:spacing w:after="0" w:line="240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超过</w:t>
      </w:r>
      <w:r>
        <w:rPr>
          <w:rFonts w:ascii="Microsoft YaHei UI" w:hAnsi="Microsoft YaHei UI" w:eastAsia="Microsoft YaHei UI" w:cs="Times New Roman"/>
          <w:color w:val="474747"/>
          <w:spacing w:val="8"/>
          <w:sz w:val="21"/>
          <w:szCs w:val="21"/>
        </w:rPr>
        <w:t>670万个检察文书</w:t>
      </w:r>
    </w:p>
    <w:p w14:paraId="15D00ABA">
      <w:pPr>
        <w:spacing w:after="0" w:line="240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</w:p>
    <w:p w14:paraId="69384408">
      <w:pPr>
        <w:spacing w:after="0" w:line="240" w:lineRule="auto"/>
        <w:rPr>
          <w:rStyle w:val="8"/>
          <w:rFonts w:hint="eastAsia" w:ascii="Microsoft YaHei UI" w:hAnsi="Microsoft YaHei UI" w:eastAsia="Microsoft YaHei UI" w:cs="Times New Roman"/>
          <w:color w:val="6EBB1F"/>
          <w:spacing w:val="8"/>
          <w:sz w:val="21"/>
          <w:szCs w:val="21"/>
        </w:rPr>
      </w:pPr>
      <w:r>
        <w:rPr>
          <w:rStyle w:val="8"/>
          <w:rFonts w:ascii="Microsoft YaHei UI" w:hAnsi="Microsoft YaHei UI" w:eastAsia="Microsoft YaHei UI" w:cs="Times New Roman"/>
          <w:color w:val="6EBB1F"/>
          <w:spacing w:val="8"/>
          <w:sz w:val="21"/>
          <w:szCs w:val="21"/>
        </w:rPr>
        <w:t>行政处罚案例</w:t>
      </w:r>
    </w:p>
    <w:p w14:paraId="2E96C52B">
      <w:pPr>
        <w:spacing w:after="0" w:line="240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特色的行政处罚案例库，按主题、处罚机构、处罚对象、地域等分类，超过</w:t>
      </w:r>
      <w:r>
        <w:rPr>
          <w:rStyle w:val="8"/>
          <w:rFonts w:hint="eastAsia" w:ascii="Microsoft YaHei UI" w:hAnsi="Microsoft YaHei UI" w:eastAsia="Microsoft YaHei UI" w:cs="Times New Roman"/>
          <w:color w:val="6EBB1F"/>
          <w:spacing w:val="8"/>
          <w:sz w:val="24"/>
          <w:szCs w:val="24"/>
        </w:rPr>
        <w:t>40</w:t>
      </w:r>
      <w:r>
        <w:rPr>
          <w:rStyle w:val="8"/>
          <w:rFonts w:ascii="Microsoft YaHei UI" w:hAnsi="Microsoft YaHei UI" w:eastAsia="Microsoft YaHei UI" w:cs="Times New Roman"/>
          <w:color w:val="6EBB1F"/>
          <w:spacing w:val="8"/>
          <w:sz w:val="24"/>
          <w:szCs w:val="24"/>
        </w:rPr>
        <w:t>00万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个案例供您参考</w:t>
      </w:r>
      <w:r>
        <w:rPr>
          <w:rFonts w:ascii="Microsoft YaHei UI" w:hAnsi="Microsoft YaHei UI" w:eastAsia="Microsoft YaHei UI" w:cs="Times New Roman"/>
          <w:color w:val="474747"/>
          <w:spacing w:val="8"/>
          <w:sz w:val="21"/>
          <w:szCs w:val="21"/>
        </w:rPr>
        <w:t>。</w:t>
      </w:r>
    </w:p>
    <w:p w14:paraId="6916C96D">
      <w:pPr>
        <w:spacing w:after="0" w:line="276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</w:p>
    <w:p w14:paraId="2A3A4D64">
      <w:pPr>
        <w:spacing w:after="0" w:line="276" w:lineRule="auto"/>
        <w:rPr>
          <w:rStyle w:val="8"/>
          <w:rFonts w:hint="eastAsia" w:ascii="Microsoft YaHei UI" w:hAnsi="Microsoft YaHei UI" w:eastAsia="Microsoft YaHei UI" w:cs="Times New Roman"/>
          <w:color w:val="6EBB1F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 w:cs="Times New Roman"/>
          <w:color w:val="6EBB1F"/>
          <w:spacing w:val="8"/>
          <w:sz w:val="21"/>
          <w:szCs w:val="21"/>
        </w:rPr>
        <w:t xml:space="preserve">司法大数据 </w:t>
      </w:r>
    </w:p>
    <w:p w14:paraId="19B7B34C">
      <w:pPr>
        <w:spacing w:after="0" w:line="276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司法大数据可视化功能利用机器学习和数据挖掘等人工智能技术，可以分析历年案例情况，不同案件类型的核心案由、逐年发生趋势、法院级别分布、审理级别分布、审理时长分布、当事人类型分布、标的额分布、聘请律师情况，</w:t>
      </w:r>
      <w:r>
        <w:rPr>
          <w:rFonts w:ascii="Microsoft YaHei UI" w:hAnsi="Microsoft YaHei UI" w:eastAsia="Microsoft YaHei UI" w:cs="Times New Roman"/>
          <w:color w:val="474747"/>
          <w:spacing w:val="8"/>
          <w:sz w:val="21"/>
          <w:szCs w:val="21"/>
        </w:rPr>
        <w:t>以及</w:t>
      </w: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引用法条情况等内容</w:t>
      </w:r>
      <w:r>
        <w:rPr>
          <w:rFonts w:ascii="Microsoft YaHei UI" w:hAnsi="Microsoft YaHei UI" w:eastAsia="Microsoft YaHei UI" w:cs="Times New Roman"/>
          <w:color w:val="474747"/>
          <w:spacing w:val="8"/>
          <w:sz w:val="21"/>
          <w:szCs w:val="21"/>
        </w:rPr>
        <w:t>。</w:t>
      </w:r>
    </w:p>
    <w:p w14:paraId="37662667">
      <w:pPr>
        <w:spacing w:after="200" w:line="276" w:lineRule="auto"/>
        <w:contextualSpacing/>
        <w:rPr>
          <w:rStyle w:val="8"/>
          <w:rFonts w:hint="eastAsia" w:ascii="Microsoft YaHei UI" w:hAnsi="Microsoft YaHei UI" w:eastAsia="Microsoft YaHei UI"/>
          <w:bCs w:val="0"/>
          <w:color w:val="6EBB1F"/>
          <w:spacing w:val="8"/>
          <w:sz w:val="21"/>
          <w:szCs w:val="21"/>
        </w:rPr>
      </w:pPr>
    </w:p>
    <w:p w14:paraId="64DC154F">
      <w:pPr>
        <w:spacing w:after="200" w:line="276" w:lineRule="auto"/>
        <w:contextualSpacing/>
        <w:rPr>
          <w:rStyle w:val="8"/>
          <w:rFonts w:hint="eastAsia" w:ascii="Microsoft YaHei UI" w:hAnsi="Microsoft YaHei UI" w:eastAsia="Microsoft YaHei UI"/>
          <w:bCs w:val="0"/>
          <w:color w:val="6EBB1F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bCs w:val="0"/>
          <w:color w:val="6EBB1F"/>
          <w:spacing w:val="8"/>
          <w:sz w:val="21"/>
          <w:szCs w:val="21"/>
        </w:rPr>
        <w:t>证明力搜索</w:t>
      </w:r>
    </w:p>
    <w:p w14:paraId="6A2A5402">
      <w:pPr>
        <w:spacing w:after="200" w:line="276" w:lineRule="auto"/>
        <w:contextualSpacing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  <w:t>针对个案的参考案例检索，证明力检索功能可以帮助您快速锁定证明力强的参考价值大的案例，让检索到的案例排序更有利于诉讼检索目的。</w:t>
      </w:r>
    </w:p>
    <w:p w14:paraId="2E4B1A9E">
      <w:pPr>
        <w:spacing w:after="0" w:line="240" w:lineRule="auto"/>
        <w:rPr>
          <w:rFonts w:hint="eastAsia" w:ascii="Microsoft YaHei UI" w:hAnsi="Microsoft YaHei UI" w:eastAsia="Microsoft YaHei UI" w:cs="Times New Roman"/>
          <w:color w:val="474747"/>
          <w:spacing w:val="8"/>
          <w:sz w:val="21"/>
          <w:szCs w:val="21"/>
        </w:rPr>
      </w:pPr>
      <w:r>
        <w:br w:type="textWrapping"/>
      </w:r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解读栏目</w:t>
      </w:r>
    </w:p>
    <w:p w14:paraId="3D43EC47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 </w:t>
      </w:r>
    </w:p>
    <w:p w14:paraId="6E248E57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实务指南</w:t>
      </w:r>
    </w:p>
    <w:p w14:paraId="0B758DFA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威科特色模块，由一系列结构完整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eastAsia="zh-CN"/>
        </w:rPr>
        <w:t>、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及时更新的中英文专著组成，包括精加工的法规评述、丰富的案例、文书范本、模板及诸多实操经验和专家建议，内容覆盖：</w:t>
      </w: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公司法，外商投资，知识产权，反垄断，等领域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；由来自金杜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eastAsia="zh-CN"/>
        </w:rPr>
        <w:t>、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君合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eastAsia="zh-CN"/>
        </w:rPr>
        <w:t>、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德勤、普华永道等事务所的权威专家撰写。</w:t>
      </w:r>
    </w:p>
    <w:p w14:paraId="3FE06F26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14B0E948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专题聚焦</w:t>
      </w:r>
    </w:p>
    <w:p w14:paraId="61F23D74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围绕</w:t>
      </w:r>
      <w:r>
        <w:rPr>
          <w:rStyle w:val="8"/>
          <w:rFonts w:ascii="Microsoft YaHei UI" w:hAnsi="Microsoft YaHei UI" w:eastAsia="Microsoft YaHei UI"/>
          <w:color w:val="6EBB1F"/>
          <w:spacing w:val="8"/>
        </w:rPr>
        <w:t>600</w:t>
      </w:r>
      <w:r>
        <w:rPr>
          <w:rStyle w:val="8"/>
          <w:rFonts w:hint="eastAsia" w:ascii="Microsoft YaHei UI" w:hAnsi="Microsoft YaHei UI" w:eastAsia="Microsoft YaHei UI"/>
          <w:color w:val="6EBB1F"/>
          <w:spacing w:val="8"/>
        </w:rPr>
        <w:t>多个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法律热门话题提供深度分析（持续增加中），深入进行法规梳理、实务指导、专家解析等整理。</w:t>
      </w:r>
    </w:p>
    <w:p w14:paraId="252C843A">
      <w:pPr>
        <w:pStyle w:val="5"/>
        <w:shd w:val="clear" w:color="auto" w:fill="FFFFFF"/>
        <w:spacing w:before="0" w:beforeAutospacing="0" w:after="0" w:afterAutospacing="0"/>
        <w:ind w:firstLine="452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37D96CED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专业文章</w:t>
      </w:r>
    </w:p>
    <w:p w14:paraId="2B34A15B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内容精选了超过</w:t>
      </w:r>
      <w:r>
        <w:rPr>
          <w:rStyle w:val="8"/>
          <w:rFonts w:hint="eastAsia" w:ascii="Microsoft YaHei UI" w:hAnsi="Microsoft YaHei UI" w:eastAsia="Microsoft YaHei UI"/>
          <w:color w:val="6EBB1F"/>
          <w:spacing w:val="8"/>
        </w:rPr>
        <w:t>10万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篇专业咨询机构的专家文章、法规比对、资讯报告等，导航简单清晰。</w:t>
      </w:r>
    </w:p>
    <w:p w14:paraId="1D1EF10F">
      <w:pPr>
        <w:pStyle w:val="5"/>
        <w:shd w:val="clear" w:color="auto" w:fill="FFFFFF"/>
        <w:spacing w:before="0" w:beforeAutospacing="0" w:after="0" w:afterAutospacing="0"/>
        <w:ind w:firstLine="452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47128D7D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工具栏目</w:t>
      </w:r>
    </w:p>
    <w:p w14:paraId="2DCAC15D">
      <w:pPr>
        <w:pStyle w:val="5"/>
        <w:shd w:val="clear" w:color="auto" w:fill="FFFFFF"/>
        <w:spacing w:before="0" w:beforeAutospacing="0" w:after="0" w:afterAutospacing="0"/>
        <w:jc w:val="both"/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</w:pPr>
    </w:p>
    <w:p w14:paraId="5668D52A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文书模板</w:t>
      </w:r>
    </w:p>
    <w:p w14:paraId="0EC697EF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汇聚官方发布示范合同和文书模板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eastAsia="zh-CN"/>
        </w:rPr>
        <w:t>，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并特约专家律师提供专业合同样本，同时对重点条款辅以独到解析。</w:t>
      </w:r>
    </w:p>
    <w:p w14:paraId="73BF5FF9">
      <w:pPr>
        <w:pStyle w:val="5"/>
        <w:shd w:val="clear" w:color="auto" w:fill="FFFFFF"/>
        <w:spacing w:before="0" w:beforeAutospacing="0" w:after="0" w:afterAutospacing="0"/>
        <w:ind w:firstLine="452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0FD1BD7C">
      <w:pPr>
        <w:pStyle w:val="5"/>
        <w:shd w:val="clear" w:color="auto" w:fill="FFFFFF"/>
        <w:spacing w:before="0" w:beforeAutospacing="0" w:after="0" w:afterAutospacing="0"/>
        <w:jc w:val="both"/>
        <w:rPr>
          <w:rFonts w:eastAsia="Microsoft YaHei UI"/>
          <w:b/>
          <w:bCs/>
          <w:color w:val="6EBB1F"/>
        </w:rPr>
      </w:pPr>
      <w:r>
        <w:rPr>
          <w:rStyle w:val="8"/>
          <w:rFonts w:ascii="Microsoft YaHei UI" w:hAnsi="Microsoft YaHei UI" w:eastAsia="Microsoft YaHei UI"/>
          <w:color w:val="6EBB1F"/>
          <w:spacing w:val="8"/>
          <w:sz w:val="21"/>
          <w:szCs w:val="21"/>
        </w:rPr>
        <w:t>内训助手</w:t>
      </w:r>
    </w:p>
    <w:p w14:paraId="7C5EF26B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汇集合作律所律师在各类研讨会上的演讲稿。</w:t>
      </w:r>
    </w:p>
    <w:p w14:paraId="6186F1CC">
      <w:pPr>
        <w:pStyle w:val="5"/>
        <w:shd w:val="clear" w:color="auto" w:fill="FFFFFF"/>
        <w:spacing w:before="0" w:beforeAutospacing="0" w:after="0" w:afterAutospacing="0"/>
        <w:ind w:firstLine="452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10F713ED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  <w:t>智能图表</w:t>
      </w:r>
    </w:p>
    <w:p w14:paraId="71C42564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val="en-US" w:eastAsia="zh-CN"/>
        </w:rPr>
        <w:t>a）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新版法院案号代字查询表</w:t>
      </w:r>
    </w:p>
    <w:p w14:paraId="0CDB534F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val="en-US" w:eastAsia="zh-CN"/>
        </w:rPr>
        <w:t>b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) 国务院各部门行政审批事项查询（企业版）</w:t>
      </w:r>
    </w:p>
    <w:p w14:paraId="5517B96B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val="en-US" w:eastAsia="zh-CN"/>
        </w:rPr>
        <w:t>c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）企业经营合规风险提示（市场监管类）</w:t>
      </w:r>
    </w:p>
    <w:p w14:paraId="0A310ECC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lang w:val="en-US" w:eastAsia="zh-CN"/>
        </w:rPr>
        <w:t>d)</w:t>
      </w:r>
      <w:r>
        <w:fldChar w:fldCharType="begin"/>
      </w:r>
      <w:r>
        <w:instrText xml:space="preserve"> HYPERLINK "https://law.wkinfo.com.cn/smart-chart/detail/VVNNMDAwMDAwMjU%3D?searchId=a7e196a87ba8410f975ceb67204bd0f5&amp;index=3&amp;q=&amp;lang=cn" \t "_blank" </w:instrText>
      </w:r>
      <w:r>
        <w:fldChar w:fldCharType="separate"/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t>《民事审判指导与参考》目录索引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  <w:fldChar w:fldCharType="end"/>
      </w:r>
    </w:p>
    <w:p w14:paraId="72A0E798">
      <w:pPr>
        <w:pStyle w:val="5"/>
        <w:shd w:val="clear" w:color="auto" w:fill="FFFFFF"/>
        <w:spacing w:before="0" w:beforeAutospacing="0" w:after="0" w:afterAutospacing="0"/>
        <w:jc w:val="both"/>
        <w:rPr>
          <w:rStyle w:val="8"/>
          <w:rFonts w:hint="eastAsia" w:ascii="Microsoft YaHei UI" w:hAnsi="Microsoft YaHei UI" w:eastAsia="Microsoft YaHei UI"/>
          <w:color w:val="6EBB1F"/>
          <w:spacing w:val="8"/>
          <w:sz w:val="21"/>
          <w:szCs w:val="21"/>
        </w:rPr>
      </w:pPr>
    </w:p>
    <w:p w14:paraId="664AFBCF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</w:p>
    <w:p w14:paraId="10F04FC9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问答栏目</w:t>
      </w:r>
    </w:p>
    <w:p w14:paraId="6E319A06">
      <w:pPr>
        <w:pStyle w:val="13"/>
        <w:autoSpaceDE w:val="0"/>
        <w:autoSpaceDN w:val="0"/>
        <w:adjustRightInd w:val="0"/>
        <w:spacing w:line="300" w:lineRule="exact"/>
        <w:ind w:firstLine="0" w:firstLineChars="0"/>
        <w:rPr>
          <w:rFonts w:hint="eastAsia" w:ascii="微软雅黑" w:hAnsi="微软雅黑" w:eastAsia="微软雅黑"/>
          <w:sz w:val="28"/>
          <w:szCs w:val="24"/>
        </w:rPr>
      </w:pPr>
    </w:p>
    <w:p w14:paraId="7FEEC75F">
      <w:pPr>
        <w:pStyle w:val="13"/>
        <w:autoSpaceDE w:val="0"/>
        <w:autoSpaceDN w:val="0"/>
        <w:adjustRightInd w:val="0"/>
        <w:spacing w:line="300" w:lineRule="exact"/>
        <w:ind w:firstLine="0" w:firstLineChars="0"/>
        <w:rPr>
          <w:rFonts w:hint="eastAsia" w:ascii="微软雅黑" w:hAnsi="微软雅黑" w:eastAsia="微软雅黑"/>
          <w:sz w:val="24"/>
        </w:rPr>
      </w:pPr>
      <w:r>
        <w:rPr>
          <w:rFonts w:hint="eastAsia" w:ascii="Microsoft YaHei UI" w:hAnsi="Microsoft YaHei UI" w:eastAsia="Microsoft YaHei UI"/>
          <w:color w:val="474747"/>
          <w:spacing w:val="8"/>
          <w:kern w:val="0"/>
          <w:szCs w:val="21"/>
          <w:shd w:val="clear" w:color="auto" w:fill="FFFFFF"/>
        </w:rPr>
        <w:t>收录来自法院、政府机构、律师等对一些常见法律问题的专业解答。</w:t>
      </w:r>
    </w:p>
    <w:p w14:paraId="7328CF0C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</w:pPr>
    </w:p>
    <w:p w14:paraId="30CAE6B7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</w:pPr>
      <w:r>
        <w:rPr>
          <w:rFonts w:hint="eastAsia" w:ascii="Microsoft YaHei UI" w:hAnsi="Microsoft YaHei UI" w:eastAsia="Microsoft YaHei UI"/>
          <w:color w:val="FFFFFF"/>
          <w:spacing w:val="8"/>
          <w:sz w:val="26"/>
          <w:szCs w:val="26"/>
          <w:shd w:val="clear" w:color="auto" w:fill="6EBB1F"/>
        </w:rPr>
        <w:t>法律速递</w:t>
      </w:r>
    </w:p>
    <w:p w14:paraId="1A669A00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</w:pPr>
    </w:p>
    <w:p w14:paraId="2649D5D6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</w:pP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  <w:t>每个</w:t>
      </w:r>
      <w:r>
        <w:rPr>
          <w:rFonts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  <w:t>工作日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  <w:t>发送中英双语法律速递，包括法律法规更新、案件聚焦</w:t>
      </w:r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  <w:lang w:eastAsia="zh-CN"/>
        </w:rPr>
        <w:t>，</w:t>
      </w:r>
      <w:bookmarkStart w:id="0" w:name="_GoBack"/>
      <w:bookmarkEnd w:id="0"/>
      <w:r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  <w:t>实时提供法律前沿资讯与深度点评，涉及劳动法、合同法、公司治理、知识产权、会计准则、外汇、海关等领域。另有精心编辑的双周刊，汇编两周内的精华资讯。</w:t>
      </w:r>
    </w:p>
    <w:p w14:paraId="049F31CB"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color w:val="474747"/>
          <w:spacing w:val="8"/>
          <w:sz w:val="21"/>
          <w:szCs w:val="21"/>
          <w:shd w:val="clear" w:color="auto" w:fill="FFFFFF"/>
        </w:rPr>
      </w:pPr>
    </w:p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307"/>
    <w:rsid w:val="00015369"/>
    <w:rsid w:val="000438E3"/>
    <w:rsid w:val="000A01A5"/>
    <w:rsid w:val="001372B0"/>
    <w:rsid w:val="001623B7"/>
    <w:rsid w:val="001A6BC9"/>
    <w:rsid w:val="001E703E"/>
    <w:rsid w:val="001F0D04"/>
    <w:rsid w:val="00262CAA"/>
    <w:rsid w:val="00284A2B"/>
    <w:rsid w:val="002D0119"/>
    <w:rsid w:val="003C4998"/>
    <w:rsid w:val="003D6097"/>
    <w:rsid w:val="003F7CA6"/>
    <w:rsid w:val="003F7DEB"/>
    <w:rsid w:val="00467F8D"/>
    <w:rsid w:val="004E66DE"/>
    <w:rsid w:val="00574E5A"/>
    <w:rsid w:val="005B7AAD"/>
    <w:rsid w:val="006F5CBF"/>
    <w:rsid w:val="00701307"/>
    <w:rsid w:val="00712B4F"/>
    <w:rsid w:val="0074103B"/>
    <w:rsid w:val="00764490"/>
    <w:rsid w:val="007972F8"/>
    <w:rsid w:val="007D4C27"/>
    <w:rsid w:val="007F15FF"/>
    <w:rsid w:val="00877DC3"/>
    <w:rsid w:val="008F00B8"/>
    <w:rsid w:val="00924551"/>
    <w:rsid w:val="009B3385"/>
    <w:rsid w:val="009B5921"/>
    <w:rsid w:val="009D5245"/>
    <w:rsid w:val="009D6727"/>
    <w:rsid w:val="00A503B3"/>
    <w:rsid w:val="00A63766"/>
    <w:rsid w:val="00AA20F5"/>
    <w:rsid w:val="00AD1962"/>
    <w:rsid w:val="00AF2BBC"/>
    <w:rsid w:val="00B31B55"/>
    <w:rsid w:val="00B35058"/>
    <w:rsid w:val="00B90688"/>
    <w:rsid w:val="00BB6251"/>
    <w:rsid w:val="00C724ED"/>
    <w:rsid w:val="00C9063D"/>
    <w:rsid w:val="00D031C4"/>
    <w:rsid w:val="00D16247"/>
    <w:rsid w:val="00D55F3A"/>
    <w:rsid w:val="00DC4007"/>
    <w:rsid w:val="00E16B91"/>
    <w:rsid w:val="00E81D23"/>
    <w:rsid w:val="00F97C62"/>
    <w:rsid w:val="01E60BF4"/>
    <w:rsid w:val="0285C1DE"/>
    <w:rsid w:val="242A9520"/>
    <w:rsid w:val="26A4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320"/>
        <w:tab w:val="right" w:pos="8640"/>
      </w:tabs>
      <w:spacing w:after="0" w:line="240" w:lineRule="auto"/>
    </w:pPr>
  </w:style>
  <w:style w:type="paragraph" w:styleId="3">
    <w:name w:val="header"/>
    <w:basedOn w:val="1"/>
    <w:link w:val="11"/>
    <w:unhideWhenUsed/>
    <w:qFormat/>
    <w:uiPriority w:val="99"/>
    <w:pPr>
      <w:tabs>
        <w:tab w:val="center" w:pos="4320"/>
        <w:tab w:val="right" w:pos="8640"/>
      </w:tabs>
      <w:spacing w:after="0" w:line="240" w:lineRule="auto"/>
    </w:pPr>
  </w:style>
  <w:style w:type="paragraph" w:styleId="4">
    <w:name w:val="Subtitle"/>
    <w:basedOn w:val="1"/>
    <w:next w:val="1"/>
    <w:link w:val="15"/>
    <w:qFormat/>
    <w:uiPriority w:val="11"/>
    <w:pPr>
      <w:widowControl w:val="0"/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7"/>
    <w:link w:val="3"/>
    <w:qFormat/>
    <w:uiPriority w:val="99"/>
  </w:style>
  <w:style w:type="character" w:customStyle="1" w:styleId="12">
    <w:name w:val="页脚 字符"/>
    <w:basedOn w:val="7"/>
    <w:link w:val="2"/>
    <w:uiPriority w:val="99"/>
  </w:style>
  <w:style w:type="paragraph" w:styleId="13">
    <w:name w:val="List Paragraph"/>
    <w:basedOn w:val="1"/>
    <w:link w:val="14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等线" w:hAnsi="等线" w:eastAsia="等线" w:cs="Times New Roman"/>
      <w:kern w:val="2"/>
      <w:sz w:val="21"/>
    </w:rPr>
  </w:style>
  <w:style w:type="character" w:customStyle="1" w:styleId="14">
    <w:name w:val="列表段落 字符"/>
    <w:link w:val="13"/>
    <w:qFormat/>
    <w:locked/>
    <w:uiPriority w:val="34"/>
    <w:rPr>
      <w:rFonts w:ascii="等线" w:hAnsi="等线" w:eastAsia="等线" w:cs="Times New Roman"/>
      <w:kern w:val="2"/>
      <w:sz w:val="21"/>
    </w:rPr>
  </w:style>
  <w:style w:type="character" w:customStyle="1" w:styleId="15">
    <w:name w:val="副标题 字符"/>
    <w:basedOn w:val="7"/>
    <w:link w:val="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6">
    <w:name w:val="无间隔1"/>
    <w:qFormat/>
    <w:uiPriority w:val="1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Wolters Kluwer</Company>
  <Pages>4</Pages>
  <Words>1741</Words>
  <Characters>1819</Characters>
  <Lines>15</Lines>
  <Paragraphs>4</Paragraphs>
  <TotalTime>24</TotalTime>
  <ScaleCrop>false</ScaleCrop>
  <LinksUpToDate>false</LinksUpToDate>
  <CharactersWithSpaces>1838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2026-05-18T12:34:00Z</dcterms:created>
  <dc:creator>Ren, Yuxin</dc:creator>
  <cp:lastModifiedBy>HSCTP</cp:lastModifiedBy>
  <dcterms:modified xsi:type="dcterms:W3CDTF">2026-05-22T00:56:36Z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eyJoZGlkIjoiOTEwNmZhNDM2MzA4YWM1ZTY2YTVhNTg3MDdmMTUwMTgiLCJ1c2VySWQiOiIzODc4MDAwOTEifQ==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24EA3447EB2E4894B850DC7F65C60469_12</vt:lpwstr>
  </property>
</Properties>
</file>